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80"/>
      </w:pPr>
      <w:r>
        <w:rPr>
          <w:color w:val="1C3F4C"/>
          <w:sz w:val="36"/>
        </w:rPr>
        <w:t xml:space="preserve">Ficha de análise de matéria do conselho de uma EFPC</w:t>
      </w:r>
    </w:p>
    <w:p>
      <w:pPr>
        <w:spacing w:after="160"/>
      </w:pPr>
      <w:r>
        <w:rPr>
          <w:color w:val="55696F"/>
          <w:sz w:val="19"/>
        </w:rPr>
        <w:t xml:space="preserve">Tauer · v1, 21/10/2026. Preencha uma ficha por matéria, antes da reunião, e guarde-a com os documentos recebidos. Os campos em amarelo são orientações: apague-as ao preencher. A ficha organiza a análise: não decide, não substitui parecer técnico ou jurídico e não garante o resultado de uma decisão. O método das cinco perguntas e os roteiros são proposta da Tauer, sem exigência de norma.</w:t>
      </w:r>
    </w:p>
    <w:p>
      <w:pPr>
        <w:spacing w:after="200"/>
      </w:pPr>
      <w:r>
        <w:rPr>
          <w:color w:val="55696F"/>
          <w:sz w:val="19"/>
        </w:rPr>
        <w:t xml:space="preserve">Antes de preencher: confira o estatuto e o regimento interno da entidade, que definem o rito de pauta, os prazos de envio dos documentos e o registro do voto e do dissenso. A Resolução Previc nº 23/2023 (art. 230, § 2º) prevê que a entidade mantenha registro dos documentos que fundamentaram a decisão; as normas consultadas não trazem um direito geral de pedir diligência nem prazo mínimo de antecedência da pauta.</w:t>
      </w:r>
    </w:p>
    <w:p>
      <w:pPr>
        <w:pStyle w:val="Heading1"/>
        <w:spacing w:after="80"/>
      </w:pPr>
      <w:r>
        <w:rPr>
          <w:color w:val="1C3F4C"/>
          <w:sz w:val="28"/>
        </w:rPr>
        <w:t xml:space="preserve">1. Ficha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3300"/>
        <w:gridCol w:w="1900"/>
        <w:gridCol w:w="2300"/>
        <w:gridCol w:w="2100"/>
      </w:tblGrid>
      <w:tr>
        <w:trPr>
          <w:cantSplit/>
        </w:trPr>
        <w:tc>
          <w:tcPr>
            <w:tcW w:w="33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Matéria (uma frase)</w:t>
            </w:r>
          </w:p>
        </w:tc>
        <w:tc>
          <w:tcPr>
            <w:tcW w:w="19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Órgão que decide</w:t>
            </w:r>
          </w:p>
        </w:tc>
        <w:tc>
          <w:tcPr>
            <w:tcW w:w="23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Plano afetado</w:t>
            </w:r>
          </w:p>
        </w:tc>
        <w:tc>
          <w:tcPr>
            <w:tcW w:w="21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Reunião e prazo</w:t>
            </w:r>
          </w:p>
        </w:tc>
      </w:tr>
      <w:tr>
        <w:trPr>
          <w:cantSplit/>
          <w:trHeight w:val="560" w:hRule="atLeast"/>
        </w:trPr>
        <w:tc>
          <w:tcPr>
            <w:tcW w:w="3300" w:type="dxa"/>
          </w:tcPr>
          <w:p>
            <w:pPr>
              <w:spacing w:after="40"/>
            </w:pPr>
            <w:r>
              <w:rPr>
                <w:sz w:val="19"/>
                <w:highlight w:val="yellow"/>
              </w:rPr>
              <w:t xml:space="preserve">[matéria]</w:t>
            </w:r>
          </w:p>
        </w:tc>
        <w:tc>
          <w:tcPr>
            <w:tcW w:w="1900" w:type="dxa"/>
          </w:tcPr>
          <w:p>
            <w:pPr>
              <w:spacing w:after="40"/>
            </w:pPr>
            <w:r>
              <w:rPr>
                <w:sz w:val="19"/>
              </w:rPr>
              <w:t xml:space="preserve">☐ Deliberativo  ☐ Fiscal  ☐ Outro</w:t>
            </w:r>
          </w:p>
        </w:tc>
        <w:tc>
          <w:tcPr>
            <w:tcW w:w="2300" w:type="dxa"/>
          </w:tcPr>
          <w:p>
            <w:pPr>
              <w:spacing w:after="40"/>
            </w:pPr>
            <w:r>
              <w:rPr>
                <w:sz w:val="19"/>
                <w:highlight w:val="yellow"/>
              </w:rPr>
              <w:t xml:space="preserve">[plano]</w:t>
            </w:r>
          </w:p>
        </w:tc>
        <w:tc>
          <w:tcPr>
            <w:tcW w:w="2100" w:type="dxa"/>
          </w:tcPr>
          <w:p>
            <w:pPr>
              <w:spacing w:after="40"/>
            </w:pPr>
            <w:r>
              <w:rPr>
                <w:sz w:val="19"/>
                <w:highlight w:val="yellow"/>
              </w:rPr>
              <w:t xml:space="preserve">[data da reunião e prazo da decisão]</w:t>
            </w:r>
          </w:p>
        </w:tc>
      </w:tr>
    </w:tbl>
    <w:p>
      <w:pPr>
        <w:spacing w:after="60"/>
      </w:pPr>
    </w:p>
    <w:p>
      <w:pPr>
        <w:spacing w:after="40"/>
      </w:pPr>
      <w:r>
        <w:rPr>
          <w:b/>
          <w:color w:val="1C3F4C"/>
          <w:sz w:val="21"/>
        </w:rPr>
        <w:t xml:space="preserve">Pergunta 1. O que está sendo decidido?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9600"/>
      </w:tblGrid>
      <w:tr>
        <w:trPr>
          <w:cantSplit/>
          <w:trHeight w:val="900" w:hRule="atLeast"/>
        </w:trPr>
        <w:tc>
          <w:tcPr>
            <w:tcW w:w="9600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40"/>
      </w:pPr>
      <w:r>
        <w:rPr>
          <w:b/>
          <w:color w:val="1C3F4C"/>
          <w:sz w:val="21"/>
        </w:rPr>
        <w:t xml:space="preserve">Pergunta 2. Qual regra se aplica?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2600"/>
        <w:gridCol w:w="7000"/>
      </w:tblGrid>
      <w:tr>
        <w:trPr>
          <w:cantSplit/>
        </w:trPr>
        <w:tc>
          <w:tcPr>
            <w:tcW w:w="26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Fonte</w:t>
            </w:r>
          </w:p>
        </w:tc>
        <w:tc>
          <w:tcPr>
            <w:tcW w:w="70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Dispositivo e o que ele exige</w:t>
            </w:r>
          </w:p>
        </w:tc>
      </w:tr>
      <w:tr>
        <w:trPr>
          <w:cantSplit/>
          <w:trHeight w:val="480" w:hRule="atLeast"/>
        </w:trPr>
        <w:tc>
          <w:tcPr>
            <w:tcW w:w="2600" w:type="dxa"/>
          </w:tcPr>
          <w:p>
            <w:pPr>
              <w:spacing w:after="40"/>
            </w:pPr>
            <w:r>
              <w:rPr>
                <w:sz w:val="19"/>
              </w:rPr>
              <w:t xml:space="preserve">Lei ou resolução</w:t>
            </w:r>
          </w:p>
        </w:tc>
        <w:tc>
          <w:tcPr>
            <w:tcW w:w="7000" w:type="dxa"/>
          </w:tcPr>
          <w:p>
            <w:pPr>
              <w:spacing w:after="40"/>
            </w:pPr>
          </w:p>
        </w:tc>
      </w:tr>
      <w:tr>
        <w:trPr>
          <w:cantSplit/>
          <w:trHeight w:val="480" w:hRule="atLeast"/>
        </w:trPr>
        <w:tc>
          <w:tcPr>
            <w:tcW w:w="2600" w:type="dxa"/>
          </w:tcPr>
          <w:p>
            <w:pPr>
              <w:spacing w:after="40"/>
            </w:pPr>
            <w:r>
              <w:rPr>
                <w:sz w:val="19"/>
              </w:rPr>
              <w:t xml:space="preserve">Estatuto ou regimento</w:t>
            </w:r>
          </w:p>
        </w:tc>
        <w:tc>
          <w:tcPr>
            <w:tcW w:w="7000" w:type="dxa"/>
          </w:tcPr>
          <w:p>
            <w:pPr>
              <w:spacing w:after="40"/>
            </w:pPr>
          </w:p>
        </w:tc>
      </w:tr>
      <w:tr>
        <w:trPr>
          <w:cantSplit/>
          <w:trHeight w:val="480" w:hRule="atLeast"/>
        </w:trPr>
        <w:tc>
          <w:tcPr>
            <w:tcW w:w="2600" w:type="dxa"/>
          </w:tcPr>
          <w:p>
            <w:pPr>
              <w:spacing w:after="40"/>
            </w:pPr>
            <w:r>
              <w:rPr>
                <w:sz w:val="19"/>
              </w:rPr>
              <w:t xml:space="preserve">Regulamento ou política</w:t>
            </w:r>
          </w:p>
        </w:tc>
        <w:tc>
          <w:tcPr>
            <w:tcW w:w="7000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40"/>
      </w:pPr>
      <w:r>
        <w:rPr>
          <w:b/>
          <w:color w:val="1C3F4C"/>
          <w:sz w:val="21"/>
        </w:rPr>
        <w:t xml:space="preserve">Pergunta 3. Que informações e evidências sustentam a proposta?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3100"/>
        <w:gridCol w:w="1900"/>
        <w:gridCol w:w="1100"/>
        <w:gridCol w:w="1000"/>
        <w:gridCol w:w="2500"/>
      </w:tblGrid>
      <w:tr>
        <w:trPr>
          <w:cantSplit/>
        </w:trPr>
        <w:tc>
          <w:tcPr>
            <w:tcW w:w="31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Documento</w:t>
            </w:r>
          </w:p>
        </w:tc>
        <w:tc>
          <w:tcPr>
            <w:tcW w:w="19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Origem</w:t>
            </w:r>
          </w:p>
        </w:tc>
        <w:tc>
          <w:tcPr>
            <w:tcW w:w="11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Data</w:t>
            </w:r>
          </w:p>
        </w:tc>
        <w:tc>
          <w:tcPr>
            <w:tcW w:w="10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Recebido</w:t>
            </w:r>
          </w:p>
        </w:tc>
        <w:tc>
          <w:tcPr>
            <w:tcW w:w="25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Observação</w:t>
            </w:r>
          </w:p>
        </w:tc>
      </w:tr>
      <w:tr>
        <w:trPr>
          <w:cantSplit/>
          <w:trHeight w:val="480" w:hRule="atLeast"/>
        </w:trPr>
        <w:tc>
          <w:tcPr>
            <w:tcW w:w="3100" w:type="dxa"/>
          </w:tcPr>
          <w:p>
            <w:pPr>
              <w:spacing w:after="40"/>
            </w:pPr>
          </w:p>
        </w:tc>
        <w:tc>
          <w:tcPr>
            <w:tcW w:w="19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2500" w:type="dxa"/>
          </w:tcPr>
          <w:p>
            <w:pPr>
              <w:spacing w:after="40"/>
            </w:pPr>
          </w:p>
        </w:tc>
      </w:tr>
      <w:tr>
        <w:trPr>
          <w:cantSplit/>
          <w:trHeight w:val="480" w:hRule="atLeast"/>
        </w:trPr>
        <w:tc>
          <w:tcPr>
            <w:tcW w:w="3100" w:type="dxa"/>
          </w:tcPr>
          <w:p>
            <w:pPr>
              <w:spacing w:after="40"/>
            </w:pPr>
          </w:p>
        </w:tc>
        <w:tc>
          <w:tcPr>
            <w:tcW w:w="19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2500" w:type="dxa"/>
          </w:tcPr>
          <w:p>
            <w:pPr>
              <w:spacing w:after="40"/>
            </w:pPr>
          </w:p>
        </w:tc>
      </w:tr>
      <w:tr>
        <w:trPr>
          <w:cantSplit/>
          <w:trHeight w:val="480" w:hRule="atLeast"/>
        </w:trPr>
        <w:tc>
          <w:tcPr>
            <w:tcW w:w="3100" w:type="dxa"/>
          </w:tcPr>
          <w:p>
            <w:pPr>
              <w:spacing w:after="40"/>
            </w:pPr>
          </w:p>
        </w:tc>
        <w:tc>
          <w:tcPr>
            <w:tcW w:w="19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2500" w:type="dxa"/>
          </w:tcPr>
          <w:p>
            <w:pPr>
              <w:spacing w:after="40"/>
            </w:pPr>
          </w:p>
        </w:tc>
      </w:tr>
      <w:tr>
        <w:trPr>
          <w:cantSplit/>
          <w:trHeight w:val="480" w:hRule="atLeast"/>
        </w:trPr>
        <w:tc>
          <w:tcPr>
            <w:tcW w:w="3100" w:type="dxa"/>
          </w:tcPr>
          <w:p>
            <w:pPr>
              <w:spacing w:after="40"/>
            </w:pPr>
          </w:p>
        </w:tc>
        <w:tc>
          <w:tcPr>
            <w:tcW w:w="19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2500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40"/>
      </w:pPr>
      <w:r>
        <w:rPr>
          <w:b/>
          <w:color w:val="1C3F4C"/>
          <w:sz w:val="21"/>
        </w:rPr>
        <w:t xml:space="preserve">Pergunta 4. Quais impactos e riscos precisam ser considerados?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00"/>
      </w:tblGrid>
      <w:tr>
        <w:trPr>
          <w:cantSplit/>
        </w:trPr>
        <w:tc>
          <w:tcPr>
            <w:tcW w:w="29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Quem é afetado</w:t>
            </w:r>
          </w:p>
        </w:tc>
        <w:tc>
          <w:tcPr>
            <w:tcW w:w="67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Impacto ou risco (quanto, por quanto tempo, em que cenário)</w:t>
            </w:r>
          </w:p>
        </w:tc>
      </w:tr>
      <w:tr>
        <w:trPr>
          <w:cantSplit/>
          <w:trHeight w:val="480" w:hRule="atLeast"/>
        </w:trPr>
        <w:tc>
          <w:tcPr>
            <w:tcW w:w="2900" w:type="dxa"/>
          </w:tcPr>
          <w:p>
            <w:pPr>
              <w:spacing w:after="40"/>
            </w:pPr>
            <w:r>
              <w:rPr>
                <w:sz w:val="19"/>
              </w:rPr>
              <w:t xml:space="preserve">Participantes ativos</w:t>
            </w:r>
          </w:p>
        </w:tc>
        <w:tc>
          <w:tcPr>
            <w:tcW w:w="6700" w:type="dxa"/>
          </w:tcPr>
          <w:p>
            <w:pPr>
              <w:spacing w:after="40"/>
            </w:pPr>
          </w:p>
        </w:tc>
      </w:tr>
      <w:tr>
        <w:trPr>
          <w:cantSplit/>
          <w:trHeight w:val="480" w:hRule="atLeast"/>
        </w:trPr>
        <w:tc>
          <w:tcPr>
            <w:tcW w:w="2900" w:type="dxa"/>
          </w:tcPr>
          <w:p>
            <w:pPr>
              <w:spacing w:after="40"/>
            </w:pPr>
            <w:r>
              <w:rPr>
                <w:sz w:val="19"/>
              </w:rPr>
              <w:t xml:space="preserve">Assistidos</w:t>
            </w:r>
          </w:p>
        </w:tc>
        <w:tc>
          <w:tcPr>
            <w:tcW w:w="6700" w:type="dxa"/>
          </w:tcPr>
          <w:p>
            <w:pPr>
              <w:spacing w:after="40"/>
            </w:pPr>
          </w:p>
        </w:tc>
      </w:tr>
      <w:tr>
        <w:trPr>
          <w:cantSplit/>
          <w:trHeight w:val="480" w:hRule="atLeast"/>
        </w:trPr>
        <w:tc>
          <w:tcPr>
            <w:tcW w:w="2900" w:type="dxa"/>
          </w:tcPr>
          <w:p>
            <w:pPr>
              <w:spacing w:after="40"/>
            </w:pPr>
            <w:r>
              <w:rPr>
                <w:sz w:val="19"/>
              </w:rPr>
              <w:t xml:space="preserve">Patrocinador ou instituidor</w:t>
            </w:r>
          </w:p>
        </w:tc>
        <w:tc>
          <w:tcPr>
            <w:tcW w:w="6700" w:type="dxa"/>
          </w:tcPr>
          <w:p>
            <w:pPr>
              <w:spacing w:after="40"/>
            </w:pPr>
          </w:p>
        </w:tc>
      </w:tr>
      <w:tr>
        <w:trPr>
          <w:cantSplit/>
          <w:trHeight w:val="480" w:hRule="atLeast"/>
        </w:trPr>
        <w:tc>
          <w:tcPr>
            <w:tcW w:w="2900" w:type="dxa"/>
          </w:tcPr>
          <w:p>
            <w:pPr>
              <w:spacing w:after="40"/>
            </w:pPr>
            <w:r>
              <w:rPr>
                <w:sz w:val="19"/>
              </w:rPr>
              <w:t xml:space="preserve">Entidade e plano</w:t>
            </w:r>
          </w:p>
        </w:tc>
        <w:tc>
          <w:tcPr>
            <w:tcW w:w="6700" w:type="dxa"/>
          </w:tcPr>
          <w:p>
            <w:pPr>
              <w:spacing w:after="40"/>
            </w:pPr>
          </w:p>
        </w:tc>
      </w:tr>
      <w:tr>
        <w:trPr>
          <w:cantSplit/>
          <w:trHeight w:val="480" w:hRule="atLeast"/>
        </w:trPr>
        <w:tc>
          <w:tcPr>
            <w:tcW w:w="2900" w:type="dxa"/>
          </w:tcPr>
          <w:p>
            <w:pPr>
              <w:spacing w:after="40"/>
            </w:pPr>
            <w:r>
              <w:rPr>
                <w:sz w:val="19"/>
              </w:rPr>
              <w:t xml:space="preserve">Risco de decidir sem a informação</w:t>
            </w:r>
          </w:p>
        </w:tc>
        <w:tc>
          <w:tcPr>
            <w:tcW w:w="6700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40"/>
      </w:pPr>
      <w:r>
        <w:rPr>
          <w:b/>
          <w:color w:val="1C3F4C"/>
          <w:sz w:val="21"/>
        </w:rPr>
        <w:t xml:space="preserve">Pergunta 5. A informação é suficiente?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2600"/>
        <w:gridCol w:w="7000"/>
      </w:tblGrid>
      <w:tr>
        <w:trPr>
          <w:cantSplit/>
          <w:trHeight w:val="600" w:hRule="atLeast"/>
        </w:trPr>
        <w:tc>
          <w:tcPr>
            <w:tcW w:w="2600" w:type="dxa"/>
          </w:tcPr>
          <w:p>
            <w:pPr>
              <w:spacing w:after="40"/>
            </w:pPr>
            <w:r>
              <w:rPr>
                <w:sz w:val="19"/>
              </w:rPr>
              <w:t xml:space="preserve">☐ Sim   ☐ Não</w:t>
            </w:r>
          </w:p>
        </w:tc>
        <w:tc>
          <w:tcPr>
            <w:tcW w:w="7000" w:type="dxa"/>
          </w:tcPr>
          <w:p>
            <w:pPr>
              <w:spacing w:after="40"/>
            </w:pPr>
            <w:r>
              <w:rPr>
                <w:sz w:val="19"/>
              </w:rPr>
              <w:t xml:space="preserve">Se não: o que falta, a quem pedi e até quando</w:t>
            </w:r>
          </w:p>
        </w:tc>
      </w:tr>
      <w:tr>
        <w:trPr>
          <w:cantSplit/>
          <w:trHeight w:val="600" w:hRule="atLeast"/>
        </w:trPr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7000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40"/>
      </w:pPr>
      <w:r>
        <w:rPr>
          <w:b/>
          <w:color w:val="1C3F4C"/>
          <w:sz w:val="21"/>
        </w:rPr>
        <w:t xml:space="preserve">Decisão e registro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4800"/>
        <w:gridCol w:w="4800"/>
      </w:tblGrid>
      <w:tr>
        <w:trPr>
          <w:cantSplit/>
          <w:trHeight w:val="600" w:hRule="atLeast"/>
        </w:trPr>
        <w:tc>
          <w:tcPr>
            <w:tcW w:w="4800" w:type="dxa"/>
          </w:tcPr>
          <w:p>
            <w:pPr>
              <w:spacing w:after="40"/>
            </w:pPr>
            <w:r>
              <w:rPr>
                <w:sz w:val="19"/>
              </w:rPr>
              <w:t xml:space="preserve">Voto: ☐ a favor  ☐ contra  ☐ abstenção  ☐ diligência</w:t>
            </w:r>
          </w:p>
        </w:tc>
        <w:tc>
          <w:tcPr>
            <w:tcW w:w="4800" w:type="dxa"/>
          </w:tcPr>
          <w:p>
            <w:pPr>
              <w:spacing w:after="40"/>
            </w:pPr>
            <w:r>
              <w:rPr>
                <w:sz w:val="19"/>
              </w:rPr>
              <w:t xml:space="preserve">Ressalvas e fundamentos:</w:t>
            </w:r>
          </w:p>
        </w:tc>
      </w:tr>
      <w:tr>
        <w:trPr>
          <w:cantSplit/>
          <w:trHeight w:val="600" w:hRule="atLeast"/>
        </w:trPr>
        <w:tc>
          <w:tcPr>
            <w:tcW w:w="4800" w:type="dxa"/>
          </w:tcPr>
          <w:p>
            <w:pPr>
              <w:spacing w:after="40"/>
            </w:pPr>
            <w:r>
              <w:rPr>
                <w:sz w:val="19"/>
              </w:rPr>
              <w:t xml:space="preserve">☐ Registrado em ata   ☐ Documentos arquivados</w:t>
            </w:r>
          </w:p>
        </w:tc>
        <w:tc>
          <w:tcPr>
            <w:tcW w:w="4800" w:type="dxa"/>
          </w:tcPr>
          <w:p>
            <w:pPr>
              <w:spacing w:after="40"/>
            </w:pPr>
            <w:r>
              <w:rPr>
                <w:sz w:val="19"/>
              </w:rPr>
              <w:t xml:space="preserve">Data e assinatura:</w:t>
            </w:r>
          </w:p>
        </w:tc>
      </w:tr>
    </w:tbl>
    <w:p>
      <w:pPr>
        <w:spacing w:after="60"/>
      </w:pPr>
    </w:p>
    <w:p>
      <w:pPr>
        <w:pStyle w:val="Heading1"/>
        <w:spacing w:after="80"/>
        <w:pageBreakBefore/>
      </w:pPr>
      <w:r>
        <w:rPr>
          <w:color w:val="1C3F4C"/>
          <w:sz w:val="28"/>
        </w:rPr>
        <w:t xml:space="preserve">2. Roteiro por tipo de matéria</w:t>
      </w:r>
    </w:p>
    <w:p>
      <w:pPr>
        <w:spacing w:after="120"/>
      </w:pPr>
      <w:r>
        <w:rPr>
          <w:color w:val="55696F"/>
          <w:sz w:val="19"/>
        </w:rPr>
        <w:t xml:space="preserve">Onde olhar na regra (pergunta 2) e quais documentos costumam sustentar a decisão (pergunta 3). A coluna de documentos é proposta da Tauer; varia conforme o caso e o estatuto. CD: conselho deliberativo. CF: conselho fiscal. DE: diretoria-executiva. A LC 108/2001 vale para entidades de patrocinadores públicos; nas demais, vale o estatuto.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1800"/>
        <w:gridCol w:w="5000"/>
        <w:gridCol w:w="2800"/>
      </w:tblGrid>
      <w:tr>
        <w:trPr>
          <w:cantSplit/>
        </w:trPr>
        <w:tc>
          <w:tcPr>
            <w:tcW w:w="18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Matéria</w:t>
            </w:r>
          </w:p>
        </w:tc>
        <w:tc>
          <w:tcPr>
            <w:tcW w:w="50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 que conferir na regra</w:t>
            </w:r>
          </w:p>
        </w:tc>
        <w:tc>
          <w:tcPr>
            <w:tcW w:w="28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Documentos que costumam ser pedidos</w:t>
            </w:r>
          </w:p>
        </w:tc>
      </w:tr>
      <w:tr>
        <w:trPr>
          <w:cantSplit/>
          <w:trHeight w:val="400" w:hRule="atLeast"/>
        </w:trPr>
        <w:tc>
          <w:tcPr>
            <w:tcW w:w="1800" w:type="dxa"/>
          </w:tcPr>
          <w:p>
            <w:pPr>
              <w:spacing w:after="40"/>
            </w:pPr>
            <w:r>
              <w:rPr>
                <w:sz w:val="18"/>
              </w:rPr>
              <w:t xml:space="preserve">Parecer atuarial</w:t>
            </w:r>
          </w:p>
        </w:tc>
        <w:tc>
          <w:tcPr>
            <w:tcW w:w="5000" w:type="dxa"/>
          </w:tcPr>
          <w:p>
            <w:pPr>
              <w:spacing w:after="40"/>
            </w:pPr>
            <w:r>
              <w:rPr>
                <w:sz w:val="18"/>
              </w:rPr>
              <w:t xml:space="preserve">Manifestações do atuário no parecer das Demonstrações Atuariais (Res. Previc 23/2023, arts. 53, 56, 62 e 68); estudo técnico de adequação das hipóteses, com validade de até 3 anos e 1 ano para a taxa de juros (arts. 78 e 79), aprovado pelo DE e pelo CD e acompanhado de parecer do CF (art. 82)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Parecer, estudo de adequação, base de dados, premissas</w:t>
            </w:r>
          </w:p>
        </w:tc>
      </w:tr>
      <w:tr>
        <w:trPr>
          <w:cantSplit/>
          <w:trHeight w:val="400" w:hRule="atLeast"/>
        </w:trPr>
        <w:tc>
          <w:tcPr>
            <w:tcW w:w="1800" w:type="dxa"/>
          </w:tcPr>
          <w:p>
            <w:pPr>
              <w:spacing w:after="40"/>
            </w:pPr>
            <w:r>
              <w:rPr>
                <w:sz w:val="18"/>
              </w:rPr>
              <w:t xml:space="preserve">Demonstrações contábeis</w:t>
            </w:r>
          </w:p>
        </w:tc>
        <w:tc>
          <w:tcPr>
            <w:tcW w:w="5000" w:type="dxa"/>
          </w:tcPr>
          <w:p>
            <w:pPr>
              <w:spacing w:after="40"/>
            </w:pPr>
            <w:r>
              <w:rPr>
                <w:sz w:val="18"/>
              </w:rPr>
              <w:t xml:space="preserve">Relatórios anuais do auditor independente (art. 20); relatório do Comitê de Auditoria, obrigatório para S1 (arts. 15 e 19); notas explicativas com conteúdo mínimo (art. 208)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Relatório do auditor, notas explicativas, relatório sobre deficiências de controles</w:t>
            </w:r>
          </w:p>
        </w:tc>
      </w:tr>
      <w:tr>
        <w:trPr>
          <w:cantSplit/>
          <w:trHeight w:val="400" w:hRule="atLeast"/>
        </w:trPr>
        <w:tc>
          <w:tcPr>
            <w:tcW w:w="1800" w:type="dxa"/>
          </w:tcPr>
          <w:p>
            <w:pPr>
              <w:spacing w:after="40"/>
            </w:pPr>
            <w:r>
              <w:rPr>
                <w:sz w:val="18"/>
              </w:rPr>
              <w:t xml:space="preserve">Política de investimentos</w:t>
            </w:r>
          </w:p>
        </w:tc>
        <w:tc>
          <w:tcPr>
            <w:tcW w:w="5000" w:type="dxa"/>
          </w:tcPr>
          <w:p>
            <w:pPr>
              <w:spacing w:after="40"/>
            </w:pPr>
            <w:r>
              <w:rPr>
                <w:sz w:val="18"/>
              </w:rPr>
              <w:t xml:space="preserve">Elaborada pela diretoria e aprovada pelo CD antes do exercício, horizonte mínimo de 60 meses com revisão anual (Res. CMN 4.994, art. 19); conteúdo mínimo (Res. Previc 23/2023, art. 212); envio à Previc até 1º/03 e em até 30 dias da revisão (art. 364, § 2º)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Política, estudos de alocação, relatórios de risco</w:t>
            </w:r>
          </w:p>
        </w:tc>
      </w:tr>
      <w:tr>
        <w:trPr>
          <w:cantSplit/>
          <w:trHeight w:val="400" w:hRule="atLeast"/>
        </w:trPr>
        <w:tc>
          <w:tcPr>
            <w:tcW w:w="1800" w:type="dxa"/>
          </w:tcPr>
          <w:p>
            <w:pPr>
              <w:spacing w:after="40"/>
            </w:pPr>
            <w:r>
              <w:rPr>
                <w:sz w:val="18"/>
              </w:rPr>
              <w:t xml:space="preserve">Conselho fiscal</w:t>
            </w:r>
          </w:p>
        </w:tc>
        <w:tc>
          <w:tcPr>
            <w:tcW w:w="5000" w:type="dxa"/>
          </w:tcPr>
          <w:p>
            <w:pPr>
              <w:spacing w:after="40"/>
            </w:pPr>
            <w:r>
              <w:rPr>
                <w:sz w:val="18"/>
              </w:rPr>
              <w:t xml:space="preserve">Relatório de controles internos, no mínimo semestral, levado em tempo hábil ao CD (Res. CGPC 13/2004, art. 19); fiscal como órgão de controle interno (Res. Previc 23/2023, art. 8º)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Relatórios do fiscal, respostas da diretoria às recomendações</w:t>
            </w:r>
          </w:p>
        </w:tc>
      </w:tr>
      <w:tr>
        <w:trPr>
          <w:cantSplit/>
          <w:trHeight w:val="400" w:hRule="atLeast"/>
        </w:trPr>
        <w:tc>
          <w:tcPr>
            <w:tcW w:w="1800" w:type="dxa"/>
          </w:tcPr>
          <w:p>
            <w:pPr>
              <w:spacing w:after="40"/>
            </w:pPr>
            <w:r>
              <w:rPr>
                <w:sz w:val="18"/>
              </w:rPr>
              <w:t xml:space="preserve">Riscos</w:t>
            </w:r>
          </w:p>
        </w:tc>
        <w:tc>
          <w:tcPr>
            <w:tcW w:w="5000" w:type="dxa"/>
          </w:tcPr>
          <w:p>
            <w:pPr>
              <w:spacing w:after="40"/>
            </w:pPr>
            <w:r>
              <w:rPr>
                <w:sz w:val="18"/>
              </w:rPr>
              <w:t xml:space="preserve">Governança e controles internos conforme porte e riscos (Res. Previc 23/2023, art. 7º, parágrafo único); gestão de riscos (Res. CMN 4.994, arts. 9º e 10)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Matriz ou relatório de riscos da entidade, relatórios de auditoria</w:t>
            </w:r>
          </w:p>
        </w:tc>
      </w:tr>
      <w:tr>
        <w:trPr>
          <w:cantSplit/>
          <w:trHeight w:val="400" w:hRule="atLeast"/>
        </w:trPr>
        <w:tc>
          <w:tcPr>
            <w:tcW w:w="1800" w:type="dxa"/>
          </w:tcPr>
          <w:p>
            <w:pPr>
              <w:spacing w:after="40"/>
            </w:pPr>
            <w:r>
              <w:rPr>
                <w:sz w:val="18"/>
              </w:rPr>
              <w:t xml:space="preserve">Prestadores e gestores</w:t>
            </w:r>
          </w:p>
        </w:tc>
        <w:tc>
          <w:tcPr>
            <w:tcW w:w="5000" w:type="dxa"/>
          </w:tcPr>
          <w:p>
            <w:pPr>
              <w:spacing w:after="40"/>
            </w:pPr>
            <w:r>
              <w:rPr>
                <w:sz w:val="18"/>
              </w:rPr>
              <w:t xml:space="preserve">Seleção e monitoramento de gestores e fundos (Res. Previc 23/2023, arts. 219 a 226); conflito de interesses formalizado ao CD (art. 220, § 2º)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Critérios de seleção, propostas, relatórios de monitoramento, declaração de conflitos</w:t>
            </w:r>
          </w:p>
        </w:tc>
      </w:tr>
      <w:tr>
        <w:trPr>
          <w:cantSplit/>
          <w:trHeight w:val="400" w:hRule="atLeast"/>
        </w:trPr>
        <w:tc>
          <w:tcPr>
            <w:tcW w:w="1800" w:type="dxa"/>
          </w:tcPr>
          <w:p>
            <w:pPr>
              <w:spacing w:after="40"/>
            </w:pPr>
            <w:r>
              <w:rPr>
                <w:sz w:val="18"/>
              </w:rPr>
              <w:t xml:space="preserve">Alteração de regulamento</w:t>
            </w:r>
          </w:p>
        </w:tc>
        <w:tc>
          <w:tcPr>
            <w:tcW w:w="5000" w:type="dxa"/>
          </w:tcPr>
          <w:p>
            <w:pPr>
              <w:spacing w:after="40"/>
            </w:pPr>
            <w:r>
              <w:rPr>
                <w:sz w:val="18"/>
              </w:rPr>
              <w:t xml:space="preserve">Competência do CD, com aprovação do patrocinador (LC 108/2001, art. 13, II e parágrafo único); proposta divulgada 30 dias antes do requerimento à Previc (Res. CNPC 32/2019, art. 3º, V); critério de atualização de benefícios (Res. CNPC 40/2021, art. 4º, §§ 2º e 3º)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Proposta, nota técnica, parecer atuarial e jurídico</w:t>
            </w:r>
          </w:p>
        </w:tc>
      </w:tr>
      <w:tr>
        <w:trPr>
          <w:cantSplit/>
          <w:trHeight w:val="400" w:hRule="atLeast"/>
        </w:trPr>
        <w:tc>
          <w:tcPr>
            <w:tcW w:w="1800" w:type="dxa"/>
          </w:tcPr>
          <w:p>
            <w:pPr>
              <w:spacing w:after="40"/>
            </w:pPr>
            <w:r>
              <w:rPr>
                <w:sz w:val="18"/>
              </w:rPr>
              <w:t xml:space="preserve">Déficit</w:t>
            </w:r>
          </w:p>
        </w:tc>
        <w:tc>
          <w:tcPr>
            <w:tcW w:w="5000" w:type="dxa"/>
          </w:tcPr>
          <w:p>
            <w:pPr>
              <w:spacing w:after="40"/>
            </w:pPr>
            <w:r>
              <w:rPr>
                <w:sz w:val="18"/>
              </w:rPr>
              <w:t xml:space="preserve">Equacionamento (LC 109/2001, art. 21; Res. CNPC 30/2018); apuração e correção (Res. Previc 23/2023, art. 68)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Parecer atuarial, premissas, cálculo do limite, cronograma</w:t>
            </w:r>
          </w:p>
        </w:tc>
      </w:tr>
    </w:tbl>
    <w:p>
      <w:pPr>
        <w:spacing w:after="60"/>
      </w:pPr>
    </w:p>
    <w:p>
      <w:pPr>
        <w:pStyle w:val="Heading1"/>
        <w:spacing w:after="80"/>
        <w:pageBreakBefore/>
      </w:pPr>
      <w:r>
        <w:rPr>
          <w:color w:val="1C3F4C"/>
          <w:sz w:val="28"/>
        </w:rPr>
        <w:t xml:space="preserve">3. Modelo de pedido de diligência</w:t>
      </w:r>
    </w:p>
    <w:p>
      <w:pPr>
        <w:spacing w:after="160"/>
      </w:pPr>
      <w:r>
        <w:rPr>
          <w:color w:val="55696F"/>
          <w:sz w:val="19"/>
        </w:rPr>
        <w:t xml:space="preserve">Para usar quando a resposta à pergunta 5 for "não". Registre por escrito, diga o que falta, proponha um prazo e peça que o pedido conste da ata. Adapte ao regimento da entidade e valide com apoio jurídico quando a matéria for sensível.</w:t>
      </w:r>
    </w:p>
    <w:p>
      <w:pPr>
        <w:spacing w:after="120"/>
      </w:pPr>
      <w:r>
        <w:rPr>
          <w:sz w:val="21"/>
        </w:rPr>
        <w:t xml:space="preserve">Ao </w:t>
      </w:r>
      <w:r>
        <w:rPr>
          <w:sz w:val="21"/>
          <w:highlight w:val="yellow"/>
        </w:rPr>
        <w:t xml:space="preserve">[presidente do conselho / diretor responsável]</w:t>
      </w:r>
      <w:r>
        <w:rPr>
          <w:sz w:val="21"/>
        </w:rPr>
        <w:br/>
        <w:t xml:space="preserve">Cópia: </w:t>
      </w:r>
      <w:r>
        <w:rPr>
          <w:sz w:val="21"/>
          <w:highlight w:val="yellow"/>
        </w:rPr>
        <w:t xml:space="preserve">[demais conselheiros e quem o regimento indicar]</w:t>
      </w:r>
    </w:p>
    <w:p>
      <w:pPr>
        <w:spacing w:after="120"/>
      </w:pPr>
      <w:r>
        <w:rPr>
          <w:sz w:val="21"/>
          <w:highlight w:val="yellow"/>
        </w:rPr>
        <w:t xml:space="preserve">[Cidade]</w:t>
      </w:r>
      <w:r>
        <w:rPr>
          <w:sz w:val="21"/>
        </w:rPr>
        <w:t xml:space="preserve">, </w:t>
      </w:r>
      <w:r>
        <w:rPr>
          <w:sz w:val="21"/>
          <w:highlight w:val="yellow"/>
        </w:rPr>
        <w:t xml:space="preserve">[data]</w:t>
      </w:r>
      <w:r>
        <w:rPr>
          <w:sz w:val="21"/>
        </w:rPr>
        <w:t xml:space="preserve">.</w:t>
      </w:r>
    </w:p>
    <w:p>
      <w:pPr>
        <w:spacing w:after="120"/>
      </w:pPr>
      <w:r>
        <w:rPr>
          <w:b/>
          <w:sz w:val="21"/>
        </w:rPr>
        <w:t xml:space="preserve">Assunto:</w:t>
      </w:r>
      <w:r>
        <w:rPr>
          <w:sz w:val="21"/>
        </w:rPr>
        <w:t xml:space="preserve"> pedido de diligência sobre a matéria </w:t>
      </w:r>
      <w:r>
        <w:rPr>
          <w:sz w:val="21"/>
          <w:highlight w:val="yellow"/>
        </w:rPr>
        <w:t xml:space="preserve">[nome da matéria]</w:t>
      </w:r>
      <w:r>
        <w:rPr>
          <w:sz w:val="21"/>
        </w:rPr>
        <w:t xml:space="preserve">, pauta da reunião de </w:t>
      </w:r>
      <w:r>
        <w:rPr>
          <w:sz w:val="21"/>
          <w:highlight w:val="yellow"/>
        </w:rPr>
        <w:t xml:space="preserve">[data]</w:t>
      </w:r>
      <w:r>
        <w:rPr>
          <w:sz w:val="21"/>
        </w:rPr>
        <w:t xml:space="preserve">.</w:t>
      </w:r>
    </w:p>
    <w:p>
      <w:pPr>
        <w:spacing w:after="120"/>
      </w:pPr>
      <w:r>
        <w:rPr>
          <w:sz w:val="21"/>
        </w:rPr>
        <w:t xml:space="preserve">Para deliberar sobre a matéria em referência, solicito, até </w:t>
      </w:r>
      <w:r>
        <w:rPr>
          <w:sz w:val="21"/>
          <w:highlight w:val="yellow"/>
        </w:rPr>
        <w:t xml:space="preserve">[data]</w:t>
      </w:r>
      <w:r>
        <w:rPr>
          <w:sz w:val="21"/>
        </w:rPr>
        <w:t xml:space="preserve">, os seguintes documentos e esclarecimentos:</w:t>
      </w:r>
    </w:p>
    <w:p>
      <w:pPr>
        <w:spacing w:after="120"/>
      </w:pPr>
      <w:r>
        <w:rPr>
          <w:sz w:val="21"/>
          <w:highlight w:val="yellow"/>
        </w:rPr>
        <w:t xml:space="preserve">[1. documento ou pergunta específica, com período e plano]</w:t>
      </w:r>
      <w:r>
        <w:rPr>
          <w:sz w:val="21"/>
          <w:highlight w:val="yellow"/>
        </w:rPr>
        <w:br/>
        <w:t xml:space="preserve">[2. ...]</w:t>
      </w:r>
      <w:r>
        <w:rPr>
          <w:sz w:val="21"/>
          <w:highlight w:val="yellow"/>
        </w:rPr>
        <w:br/>
        <w:t xml:space="preserve">[3. ...]</w:t>
      </w:r>
    </w:p>
    <w:p>
      <w:pPr>
        <w:spacing w:after="120"/>
      </w:pPr>
      <w:r>
        <w:rPr>
          <w:sz w:val="21"/>
        </w:rPr>
        <w:t xml:space="preserve">Sem esses elementos, não consigo concluir que a decisão está suficientemente informada. Proponho </w:t>
      </w:r>
      <w:r>
        <w:rPr>
          <w:sz w:val="21"/>
          <w:highlight w:val="yellow"/>
        </w:rPr>
        <w:t xml:space="preserve">[adiar a votação até o recebimento / votar em reunião extraordinária em tal data]</w:t>
      </w:r>
      <w:r>
        <w:rPr>
          <w:sz w:val="21"/>
        </w:rPr>
        <w:t xml:space="preserve">. Solicito que este pedido e a resposta constem da ata da reunião de </w:t>
      </w:r>
      <w:r>
        <w:rPr>
          <w:sz w:val="21"/>
          <w:highlight w:val="yellow"/>
        </w:rPr>
        <w:t xml:space="preserve">[data]</w:t>
      </w:r>
      <w:r>
        <w:rPr>
          <w:sz w:val="21"/>
        </w:rPr>
        <w:t xml:space="preserve">.</w:t>
      </w:r>
    </w:p>
    <w:p>
      <w:pPr>
        <w:spacing w:after="120"/>
      </w:pPr>
      <w:r>
        <w:rPr>
          <w:sz w:val="21"/>
        </w:rPr>
        <w:t xml:space="preserve">Atenciosamente,</w:t>
      </w:r>
      <w:r>
        <w:rPr>
          <w:sz w:val="21"/>
          <w:highlight w:val="yellow"/>
        </w:rPr>
        <w:br/>
        <w:t xml:space="preserve">[nome, cargo no conselho, e-mail]</w:t>
      </w:r>
    </w:p>
    <w:p>
      <w:pPr>
        <w:spacing w:after="160"/>
      </w:pPr>
      <w:r>
        <w:rPr>
          <w:color w:val="55696F"/>
          <w:sz w:val="19"/>
        </w:rPr>
        <w:t xml:space="preserve">Dicas: peça o que existe e tem nome (pedido genérico é difícil de atender); guarde o pedido, a resposta e os documentos junto à ficha; se a resposta não vier, o estatuto e o regimento definem como registrar o voto, a abstenção e o dissenso.</w:t>
      </w:r>
    </w:p>
    <w:p>
      <w:pPr>
        <w:spacing w:after="60"/>
      </w:pPr>
      <w:r>
        <w:rPr>
          <w:color w:val="55696F"/>
          <w:sz w:val="17"/>
        </w:rPr>
        <w:t xml:space="preserve">Fontes: Resolução Previc nº 23/2023, arts. 7º, 8º, 15, 19, 20, 53, 56, 62, 68, 78, 79, 82, 208, 212, 219 a 226, 230 e 364 (consolidada até a Resolução Previc nº 25/2024) · Resolução CMN nº 4.994/2022, arts. 9º, 10 e 19 · LC 108/2001, art. 13, e LC 109/2001, art. 21 · Resolução CNPC nº 40/2021, art. 4º · Resolução CNPC nº 32/2019, art. 3º, e Resolução CGPC nº 13/2004, art. 19 (compilações; conferir a literalidade) · Resolução CNPC nº 30/2018. Material informativo; não substitui orientação jurídica. Tauer · tauer.com.br/contato</w:t>
      </w:r>
    </w:p>
    <w:sectPr>
      <w:pgSz w:w="11906" w:h="16838"/>
      <w:pgMar w:top="1000" w:right="1150" w:bottom="1000" w:left="115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</w:pPr>
  </w:style>
  <w:style w:type="paragraph" w:styleId="Heading1">
    <w:name w:val="heading 1"/>
    <w:basedOn w:val="Normal"/>
    <w:pPr>
      <w:keepNext/>
      <w:spacing w:before="200" w:after="80"/>
      <w:outlineLvl w:val="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