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80"/>
      </w:pPr>
      <w:r>
        <w:rPr>
          <w:color w:val="1C3F4C"/>
          <w:sz w:val="36"/>
        </w:rPr>
        <w:t xml:space="preserve">Checklist: o que verificar diante de mudanças no plano</w:t>
      </w:r>
    </w:p>
    <w:p>
      <w:pPr>
        <w:spacing w:after="160"/>
      </w:pPr>
      <w:r>
        <w:rPr>
          <w:color w:val="55696F"/>
          <w:sz w:val="19"/>
        </w:rPr>
        <w:t xml:space="preserve">Tauer · v1, 24/10/2026. Preencha um checklist por operação. Marque apenas o que você viu no documento ou na comunicação da entidade e anote o que falta. Os campos em amarelo são orientações: apague-as ao preencher. O material organiza a análise: não decide, não recomenda aderir ou se opor a uma operação e não substitui parecer jurídico ou atuarial. O método das cinco perguntas e os itens são proposta da Tauer; a coluna de normas remete a dispositivos oficiais.</w:t>
      </w:r>
    </w:p>
    <w:p>
      <w:pPr>
        <w:spacing w:after="120"/>
      </w:pPr>
      <w:r>
        <w:rPr>
          <w:b/>
          <w:color w:val="55696F"/>
          <w:sz w:val="19"/>
        </w:rPr>
        <w:t xml:space="preserve">As cinco perguntas:</w:t>
      </w:r>
      <w:r>
        <w:rPr>
          <w:color w:val="55696F"/>
          <w:sz w:val="19"/>
        </w:rPr>
        <w:t xml:space="preserve"> 1. O que está sendo decidido? 2. Qual regra se aplica? 3. Que informações e evidências sustentam a proposta? 4. Quais impactos e riscos precisam ser considerados? 5. A informação é suficiente? Se não for, peça documentos específicos, por escrito.</w:t>
      </w:r>
    </w:p>
    <w:p>
      <w:pPr>
        <w:spacing w:after="200"/>
      </w:pPr>
      <w:r>
        <w:rPr>
          <w:b/>
          <w:color w:val="55696F"/>
          <w:sz w:val="19"/>
        </w:rPr>
        <w:t xml:space="preserve">O momento de agir:</w:t>
      </w:r>
      <w:r>
        <w:rPr>
          <w:color w:val="55696F"/>
          <w:sz w:val="19"/>
        </w:rPr>
        <w:t xml:space="preserve"> regulamentos e suas alterações, fusão, cisão, incorporação, retiradas de patrocinadores e transferências dependem de autorização prévia e expressa da Previc (LC 109/2001, art. 33). Nos requerimentos do Anexo III da Resolução Previc 23/2023 não há aprovação tácita (art. 163, parágrafo único). A alteração de regulamento aplica-se a todos a partir da aprovação, respeitado o direito acumulado (LC 109/2001, art. 17).</w:t>
      </w:r>
    </w:p>
    <w:p>
      <w:pPr>
        <w:pStyle w:val="Heading1"/>
        <w:spacing w:after="80"/>
      </w:pPr>
      <w:r>
        <w:rPr>
          <w:color w:val="1C3F4C"/>
          <w:sz w:val="28"/>
        </w:rPr>
        <w:t xml:space="preserve">Parte A · O que vale para qualquer operação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3300"/>
        <w:gridCol w:w="2500"/>
        <w:gridCol w:w="1800"/>
        <w:gridCol w:w="2000"/>
      </w:tblGrid>
      <w:tr>
        <w:trPr>
          <w:cantSplit/>
        </w:trPr>
        <w:tc>
          <w:tcPr>
            <w:tcW w:w="3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Operação</w:t>
            </w:r>
          </w:p>
        </w:tc>
        <w:tc>
          <w:tcPr>
            <w:tcW w:w="25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Plano e entidade</w:t>
            </w:r>
          </w:p>
        </w:tc>
        <w:tc>
          <w:tcPr>
            <w:tcW w:w="18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Etapa atual</w:t>
            </w:r>
          </w:p>
        </w:tc>
        <w:tc>
          <w:tcPr>
            <w:tcW w:w="20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Quem preenche e data</w:t>
            </w:r>
          </w:p>
        </w:tc>
      </w:tr>
      <w:tr>
        <w:trPr>
          <w:cantSplit/>
          <w:trHeight w:val="560" w:hRule="atLeast"/>
        </w:trPr>
        <w:tc>
          <w:tcPr>
            <w:tcW w:w="3300" w:type="dxa"/>
          </w:tcPr>
          <w:p>
            <w:pPr>
              <w:spacing w:after="40"/>
            </w:pPr>
            <w:r>
              <w:rPr>
                <w:sz w:val="19"/>
                <w:highlight w:val="yellow"/>
              </w:rPr>
              <w:t xml:space="preserve">[operação]</w:t>
            </w:r>
          </w:p>
        </w:tc>
        <w:tc>
          <w:tcPr>
            <w:tcW w:w="2500" w:type="dxa"/>
          </w:tcPr>
          <w:p>
            <w:pPr>
              <w:spacing w:after="40"/>
            </w:pPr>
            <w:r>
              <w:rPr>
                <w:sz w:val="19"/>
                <w:highlight w:val="yellow"/>
              </w:rPr>
              <w:t xml:space="preserve">[plano e entidade]</w:t>
            </w:r>
          </w:p>
        </w:tc>
        <w:tc>
          <w:tcPr>
            <w:tcW w:w="1800" w:type="dxa"/>
          </w:tcPr>
          <w:p>
            <w:pPr>
              <w:spacing w:after="40"/>
            </w:pPr>
            <w:r>
              <w:rPr>
                <w:sz w:val="19"/>
                <w:highlight w:val="yellow"/>
              </w:rPr>
              <w:t xml:space="preserve">[etapa]</w:t>
            </w:r>
          </w:p>
        </w:tc>
        <w:tc>
          <w:tcPr>
            <w:tcW w:w="2000" w:type="dxa"/>
          </w:tcPr>
          <w:p>
            <w:pPr>
              <w:spacing w:after="40"/>
            </w:pPr>
            <w:r>
              <w:rPr>
                <w:sz w:val="19"/>
                <w:highlight w:val="yellow"/>
              </w:rPr>
              <w:t xml:space="preserve">[nome e data]</w:t>
            </w:r>
          </w:p>
        </w:tc>
      </w:tr>
    </w:tbl>
    <w:p>
      <w:pPr>
        <w:spacing w:after="60"/>
      </w:pP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6300"/>
        <w:gridCol w:w="2800"/>
      </w:tblGrid>
      <w:tr>
        <w:trPr>
          <w:cantSplit/>
        </w:trPr>
        <w:tc>
          <w:tcPr>
            <w:tcW w:w="5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/>
            </w:r>
          </w:p>
        </w:tc>
        <w:tc>
          <w:tcPr>
            <w:tcW w:w="6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 que verificar</w:t>
            </w:r>
          </w:p>
        </w:tc>
        <w:tc>
          <w:tcPr>
            <w:tcW w:w="28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Onde está na norma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Sei qual operação está em curso, qual plano é afetado e em que etapa ela está.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Pergunta 1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Sei que a operação depende de autorização prévia e expressa da Previc e que não está concluída até a publicação do ato.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LC 109/2001, art. 33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Sei que, nos requerimentos do Anexo III, o silêncio da Previc não equivale a aprovação.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163, p. único (red. Res. Previc 26/2025)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Pedi por escrito os documentos que fundamentam o requerimento (pareceres, atas, manifestações de patrocinadores, estudos técnicos) e guardei o protocolo.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152, § 1º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Registrei as datas: divulgação, protocolo na Previc, autorização, data do cálculo, data efetiva e prazo de opção.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176-A; guias do Pilar 6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Verifiquei o que a operação muda para o direito acumulado e, para quem já é elegível, a regra vigente quando se tornou elegível.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LC 109/2001, art. 17 e p. único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A associação avaliou se pede admissão como interessada no processo da Previc e reuniu a prova de representatividade.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152, § 2º (red. Res. Previc 26/2025)</w:t>
            </w:r>
          </w:p>
        </w:tc>
      </w:tr>
    </w:tbl>
    <w:p>
      <w:pPr>
        <w:spacing w:after="60"/>
      </w:pPr>
    </w:p>
    <w:p>
      <w:pPr>
        <w:spacing w:after="40"/>
      </w:pPr>
      <w:r>
        <w:rPr>
          <w:b/>
          <w:color w:val="1C3F4C"/>
          <w:sz w:val="21"/>
        </w:rPr>
        <w:t xml:space="preserve">O que falta e a quem pedi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4200"/>
        <w:gridCol w:w="2300"/>
        <w:gridCol w:w="1500"/>
        <w:gridCol w:w="1600"/>
      </w:tblGrid>
      <w:tr>
        <w:trPr>
          <w:cantSplit/>
        </w:trPr>
        <w:tc>
          <w:tcPr>
            <w:tcW w:w="42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Documento ou informação que falta</w:t>
            </w:r>
          </w:p>
        </w:tc>
        <w:tc>
          <w:tcPr>
            <w:tcW w:w="2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Pedido a</w:t>
            </w:r>
          </w:p>
        </w:tc>
        <w:tc>
          <w:tcPr>
            <w:tcW w:w="15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Data do pedido</w:t>
            </w:r>
          </w:p>
        </w:tc>
        <w:tc>
          <w:tcPr>
            <w:tcW w:w="16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9"/>
              </w:rPr>
              <w:t xml:space="preserve">Resposta</w:t>
            </w:r>
          </w:p>
        </w:tc>
      </w:tr>
      <w:tr>
        <w:trPr>
          <w:cantSplit/>
          <w:trHeight w:val="420" w:hRule="atLeast"/>
        </w:trPr>
        <w:tc>
          <w:tcPr>
            <w:tcW w:w="42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</w:tr>
      <w:tr>
        <w:trPr>
          <w:cantSplit/>
          <w:trHeight w:val="420" w:hRule="atLeast"/>
        </w:trPr>
        <w:tc>
          <w:tcPr>
            <w:tcW w:w="42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</w:tr>
      <w:tr>
        <w:trPr>
          <w:cantSplit/>
          <w:trHeight w:val="420" w:hRule="atLeast"/>
        </w:trPr>
        <w:tc>
          <w:tcPr>
            <w:tcW w:w="42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</w:tr>
      <w:tr>
        <w:trPr>
          <w:cantSplit/>
          <w:trHeight w:val="420" w:hRule="atLeast"/>
        </w:trPr>
        <w:tc>
          <w:tcPr>
            <w:tcW w:w="42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pStyle w:val="Heading1"/>
        <w:spacing w:after="80"/>
        <w:pageBreakBefore/>
      </w:pPr>
      <w:r>
        <w:rPr>
          <w:color w:val="1C3F4C"/>
          <w:sz w:val="28"/>
        </w:rPr>
        <w:t xml:space="preserve">Parte B · Bloco da sua operação</w:t>
      </w:r>
    </w:p>
    <w:p>
      <w:pPr>
        <w:spacing w:after="60"/>
      </w:pPr>
      <w:r>
        <w:rPr>
          <w:color w:val="1C3F4C"/>
          <w:sz w:val="22"/>
        </w:rPr>
        <w:t xml:space="preserve">B1 · Retirada de patrocínio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6300"/>
        <w:gridCol w:w="2800"/>
      </w:tblGrid>
      <w:tr>
        <w:trPr>
          <w:cantSplit/>
        </w:trPr>
        <w:tc>
          <w:tcPr>
            <w:tcW w:w="5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/>
            </w:r>
          </w:p>
        </w:tc>
        <w:tc>
          <w:tcPr>
            <w:tcW w:w="6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 que verificar</w:t>
            </w:r>
          </w:p>
        </w:tc>
        <w:tc>
          <w:tcPr>
            <w:tcW w:w="28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Onde está na norma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Recebi a notificação do patrocinador, com relação de planos, exposição técnica de motivos e declaração de cumprimento das obrigações.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CNPC 59/2023, art. 5º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A entidade deu ciência aos órgãos estatutários e divulgou a notificação em até 10 dias úteis; os documentos do requerimento estão no site 30 dias antes do protocolo.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136 e § 1º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O protocolo na Previc respeita o limite de 240 dias da notificação.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135, II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Há avaliação atuarial e estudo de viabilidade do plano de preservação (PIPPP), validado pelo conselho deliberativo.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CNPC 59/2023, art. 10; Res. Previc 23/2023, art. 137-A, § 3º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Li a minuta do termo de retirada (fundo administrativo, reserva especial, opções, exigível contingencial, fundo de longevidade).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138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Há comprovação de quitação das dívidas do patrocinador, em especial de eventual equacionamento de déficit, até 30 dias antes da data efetiva.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CNPC 59/2023, art. 17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O termo de opção traz os itens mínimos: reserva individual final e sua apuração, opções, período de opção, o que ocorre se não optar, débitos e fundo de longevidade.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140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Sei as opções, o limite de 25% em parcela única quando combinadas e o período de opção de 120 dias da data efetiva.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CNPC 59/2023, art. 13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O plano segue pagando benefícios até a data do cálculo e não aceita novos participantes desde o protocolo (na retirada parcial, só os vinculados ao patrocinador retirante).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CNPC 59/2023, art. 24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color w:val="1C3F4C"/>
          <w:sz w:val="22"/>
        </w:rPr>
        <w:t xml:space="preserve">B2 · Transferência de gerenciamento, fusão, cisão e incorporação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6300"/>
        <w:gridCol w:w="2800"/>
      </w:tblGrid>
      <w:tr>
        <w:trPr>
          <w:cantSplit/>
        </w:trPr>
        <w:tc>
          <w:tcPr>
            <w:tcW w:w="5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/>
            </w:r>
          </w:p>
        </w:tc>
        <w:tc>
          <w:tcPr>
            <w:tcW w:w="6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 que verificar</w:t>
            </w:r>
          </w:p>
        </w:tc>
        <w:tc>
          <w:tcPr>
            <w:tcW w:w="28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Onde está na norma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Na transferência de gerenciamento, conferi que patrocinadores, participantes e a integralidade de ativos e passivos são mantidos.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CNPC 51/2022, art. 2º, IV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A exposição de motivos traz comparativo de custeio administrativo e de investimentos, comparativo de governança e a vantajosidade.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131, p. único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A minuta do Termo de Transferência foi divulgada com 30 dias de antecedência do protocolo.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133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Li o termo da operação e o relatório na data-base; os regulamentos não dispõem sobre os critérios do termo.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arts. 176 e 176-A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Verifiquei o que muda em representação nos órgãos de governança, custos, passivos e ações judiciais.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CNPC 51/2022, arts. 8º e 11; termo da operação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Se o patrocinador é de que trata o art. 4º da LC 108/2001, há manifestação favorável do órgão supervisor.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174, § 3º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color w:val="1C3F4C"/>
          <w:sz w:val="22"/>
        </w:rPr>
        <w:t xml:space="preserve">B3 · Migração de participantes e assistidos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6300"/>
        <w:gridCol w:w="2800"/>
      </w:tblGrid>
      <w:tr>
        <w:trPr>
          <w:cantSplit/>
        </w:trPr>
        <w:tc>
          <w:tcPr>
            <w:tcW w:w="5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/>
            </w:r>
          </w:p>
        </w:tc>
        <w:tc>
          <w:tcPr>
            <w:tcW w:w="6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 que verificar</w:t>
            </w:r>
          </w:p>
        </w:tc>
        <w:tc>
          <w:tcPr>
            <w:tcW w:w="28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Onde está na norma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A proposta foi divulgada a participantes e assistidos 30 dias antes do pedido à Previc; patrocinadores e instituidores foram comunicados.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152, I e II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Tenho os dois regulamentos lado a lado e o critério de apuração e atualização da reserva de migração.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Termo de Migração; página oficial da Previc (não é norma)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Registrei a data em que recebi o termo e o prazo de opção.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Termo de Migração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Sei que a opção é voluntária e o que ocorre se eu não optar.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Página oficial da Previc (não é norma)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Busquei orientação jurídica sobre direito acumulado e elegibilidade.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LC 109/2001, art. 17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color w:val="1C3F4C"/>
          <w:sz w:val="22"/>
        </w:rPr>
        <w:t xml:space="preserve">B4 · Alteração de regulamento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6300"/>
        <w:gridCol w:w="2800"/>
      </w:tblGrid>
      <w:tr>
        <w:trPr>
          <w:cantSplit/>
        </w:trPr>
        <w:tc>
          <w:tcPr>
            <w:tcW w:w="5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/>
            </w:r>
          </w:p>
        </w:tc>
        <w:tc>
          <w:tcPr>
            <w:tcW w:w="6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 que verificar</w:t>
            </w:r>
          </w:p>
        </w:tc>
        <w:tc>
          <w:tcPr>
            <w:tcW w:w="28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Onde está na norma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A proposta foi divulgada na íntegra, com todos os documentos, com 30 dias de antecedência da remessa à Previc.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152, I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Patrocinadores e instituidores tiveram 30 dias para manifestar eventual discordância.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art. 152, II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A proposta inclui as adequações às novas normas (por exemplo, Res. CNPC 50/2022 e 65/2026, com prazo de 31/12/2026).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arts. 152, III e 129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Se a entidade pediu licenciamento automático, a mudança trata exclusivamente de uma das hipóteses listadas na norma.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arts. 104 a 108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Sei que a alteração só vale para todos a partir da aprovação da Previc.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LC 109/2001, art. 17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Acompanho a fase de instrução (10 a 35 dias) e a de decisão (30 dias).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Previc 23/2023, Anexo III (red. Res. Previc 26/2025)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color w:val="1C3F4C"/>
          <w:sz w:val="22"/>
        </w:rPr>
        <w:t xml:space="preserve">B5 · Rescisão de convênio por iniciativa da entidade</w:t>
      </w:r>
    </w:p>
    <w:tbl>
      <w:tblPr>
        <w:tblW w:w="0" w:type="auto"/>
        <w:tblBorders>
          <w:top w:val="single" w:sz="4" w:color="A8C3CA"/>
          <w:left w:val="single" w:sz="4" w:color="A8C3CA"/>
          <w:bottom w:val="single" w:sz="4" w:color="A8C3CA"/>
          <w:right w:val="single" w:sz="4" w:color="A8C3CA"/>
          <w:insideH w:val="single" w:sz="4" w:color="A8C3CA"/>
          <w:insideV w:val="single" w:sz="4" w:color="A8C3CA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6300"/>
        <w:gridCol w:w="2800"/>
      </w:tblGrid>
      <w:tr>
        <w:trPr>
          <w:cantSplit/>
        </w:trPr>
        <w:tc>
          <w:tcPr>
            <w:tcW w:w="5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/>
            </w:r>
          </w:p>
        </w:tc>
        <w:tc>
          <w:tcPr>
            <w:tcW w:w="63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 que verificar</w:t>
            </w:r>
          </w:p>
        </w:tc>
        <w:tc>
          <w:tcPr>
            <w:tcW w:w="2800" w:type="dxa"/>
            <w:shd w:val="clear" w:color="auto" w:fill="F3F6F5"/>
          </w:tcPr>
          <w:p>
            <w:pPr>
              <w:spacing w:after="40"/>
            </w:pPr>
            <w:r>
              <w:rPr>
                <w:b/>
                <w:color w:val="55696F"/>
                <w:sz w:val="18"/>
              </w:rPr>
              <w:t xml:space="preserve">Onde está na norma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O motivo se enquadra no art. 22 (falência, liquidação ordinária, extinção ou descumprimento das obrigações do convênio). A recuperação judicial, por si só, não consta.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CNPC 59/2023, art. 22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O patrocinador foi comunicado e teve 30 dias para se manifestar; a Previc precisa autorizar.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Res. CNPC 59/2023, arts. 22, p. único, e 23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</w:tcPr>
          <w:p>
            <w:pPr>
              <w:spacing w:after="4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6300" w:type="dxa"/>
          </w:tcPr>
          <w:p>
            <w:pPr>
              <w:spacing w:after="40"/>
            </w:pPr>
            <w:r>
              <w:rPr>
                <w:sz w:val="18"/>
              </w:rPr>
              <w:t xml:space="preserve">Sei como ficam déficit e dívidas: o resultado deficitário é equacionado por patrocinadores, participantes e assistidos.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sz w:val="18"/>
              </w:rPr>
              <w:t xml:space="preserve">LC 109/2001, art. 21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color w:val="55696F"/>
          <w:sz w:val="17"/>
        </w:rPr>
        <w:t xml:space="preserve">Os prazos do Anexo III estão em dias, conforme o cabeçalho da Resolução Previc 26/2025; confira a versão vigente. Itens sobre migração com base na página oficial da Previc não são texto de norma. PIPPP: Plano Instituído de Preservação da Proteção Previdenciária.</w:t>
      </w:r>
    </w:p>
    <w:p>
      <w:pPr>
        <w:pStyle w:val="Heading1"/>
        <w:spacing w:after="80"/>
        <w:pageBreakBefore/>
      </w:pPr>
      <w:r>
        <w:rPr>
          <w:color w:val="1C3F4C"/>
          <w:sz w:val="28"/>
        </w:rPr>
        <w:t xml:space="preserve">Parte C · Modelo de pedido de documentos</w:t>
      </w:r>
    </w:p>
    <w:p>
      <w:pPr>
        <w:spacing w:after="160"/>
      </w:pPr>
      <w:r>
        <w:rPr>
          <w:color w:val="55696F"/>
          <w:sz w:val="19"/>
        </w:rPr>
        <w:t xml:space="preserve">Para participantes, assistidos e patrocinadores que queiram os documentos que fundamentam o requerimento (Res. Previc 23/2023, art. 152, § 1º). A norma não cita a associação nominalmente nesse parágrafo; ela pode usar o modelo em nome dos associados. Adapte ao canal da entidade e guarde o protocolo.</w:t>
      </w:r>
    </w:p>
    <w:p>
      <w:pPr>
        <w:spacing w:after="120"/>
      </w:pPr>
      <w:r>
        <w:rPr>
          <w:sz w:val="21"/>
        </w:rPr>
        <w:t xml:space="preserve">À </w:t>
      </w:r>
      <w:r>
        <w:rPr>
          <w:sz w:val="21"/>
          <w:highlight w:val="yellow"/>
        </w:rPr>
        <w:t xml:space="preserve">[entidade, diretoria responsável]</w:t>
      </w:r>
      <w:r>
        <w:rPr>
          <w:sz w:val="21"/>
        </w:rPr>
        <w:br/>
        <w:t xml:space="preserve">Cópia: </w:t>
      </w:r>
      <w:r>
        <w:rPr>
          <w:sz w:val="21"/>
          <w:highlight w:val="yellow"/>
        </w:rPr>
        <w:t xml:space="preserve">[conselho deliberativo, conselho fiscal, ouvidoria]</w:t>
      </w:r>
    </w:p>
    <w:p>
      <w:pPr>
        <w:spacing w:after="120"/>
      </w:pPr>
      <w:r>
        <w:rPr>
          <w:sz w:val="21"/>
          <w:highlight w:val="yellow"/>
        </w:rPr>
        <w:t xml:space="preserve">[Cidade]</w:t>
      </w:r>
      <w:r>
        <w:rPr>
          <w:sz w:val="21"/>
        </w:rPr>
        <w:t xml:space="preserve">, </w:t>
      </w:r>
      <w:r>
        <w:rPr>
          <w:sz w:val="21"/>
          <w:highlight w:val="yellow"/>
        </w:rPr>
        <w:t xml:space="preserve">[data]</w:t>
      </w:r>
      <w:r>
        <w:rPr>
          <w:sz w:val="21"/>
        </w:rPr>
        <w:t xml:space="preserve">.</w:t>
      </w:r>
    </w:p>
    <w:p>
      <w:pPr>
        <w:spacing w:after="120"/>
      </w:pPr>
      <w:r>
        <w:rPr>
          <w:b/>
          <w:sz w:val="21"/>
        </w:rPr>
        <w:t xml:space="preserve">Assunto:</w:t>
      </w:r>
      <w:r>
        <w:rPr>
          <w:sz w:val="21"/>
        </w:rPr>
        <w:t xml:space="preserve"> solicitação de documentos que fundamentam o requerimento de </w:t>
      </w:r>
      <w:r>
        <w:rPr>
          <w:sz w:val="21"/>
          <w:highlight w:val="yellow"/>
        </w:rPr>
        <w:t xml:space="preserve">[operação]</w:t>
      </w:r>
      <w:r>
        <w:rPr>
          <w:sz w:val="21"/>
        </w:rPr>
        <w:t xml:space="preserve"> relativo ao plano </w:t>
      </w:r>
      <w:r>
        <w:rPr>
          <w:sz w:val="21"/>
          <w:highlight w:val="yellow"/>
        </w:rPr>
        <w:t xml:space="preserve">[nome do plano]</w:t>
      </w:r>
      <w:r>
        <w:rPr>
          <w:sz w:val="21"/>
        </w:rPr>
        <w:t xml:space="preserve">.</w:t>
      </w:r>
    </w:p>
    <w:p>
      <w:pPr>
        <w:spacing w:after="120"/>
      </w:pPr>
      <w:r>
        <w:rPr>
          <w:sz w:val="21"/>
        </w:rPr>
        <w:t xml:space="preserve">Com base no art. 152, § 1º, da Resolução Previc nº 23/2023, solicito, até </w:t>
      </w:r>
      <w:r>
        <w:rPr>
          <w:sz w:val="21"/>
          <w:highlight w:val="yellow"/>
        </w:rPr>
        <w:t xml:space="preserve">[data]</w:t>
      </w:r>
      <w:r>
        <w:rPr>
          <w:sz w:val="21"/>
        </w:rPr>
        <w:t xml:space="preserve">, cópia dos documentos que fundamentam o requerimento, em especial: </w:t>
      </w:r>
      <w:r>
        <w:rPr>
          <w:sz w:val="21"/>
          <w:highlight w:val="yellow"/>
        </w:rPr>
        <w:t xml:space="preserve">[pareceres atuariais e jurídicos; atas dos órgãos estatutários; manifestações dos patrocinadores; estudos técnicos; minuta do termo da operação; relatório da operação; quadro comparativo de regulamentos, se houver]</w:t>
      </w:r>
      <w:r>
        <w:rPr>
          <w:sz w:val="21"/>
        </w:rPr>
        <w:t xml:space="preserve">, ressalvados os documentos protegidos por sigilo legal, que peço sejam identificados.</w:t>
      </w:r>
    </w:p>
    <w:p>
      <w:pPr>
        <w:spacing w:after="120"/>
      </w:pPr>
      <w:r>
        <w:rPr>
          <w:sz w:val="21"/>
        </w:rPr>
        <w:t xml:space="preserve">Solicito ainda a informação das datas previstas para divulgação da proposta, protocolo na Previc, prazo de opção e data efetiva, quando houver.</w:t>
      </w:r>
    </w:p>
    <w:p>
      <w:pPr>
        <w:spacing w:after="120"/>
      </w:pPr>
      <w:r>
        <w:rPr>
          <w:sz w:val="21"/>
        </w:rPr>
        <w:t xml:space="preserve">Atenciosamente,</w:t>
      </w:r>
      <w:r>
        <w:rPr>
          <w:sz w:val="21"/>
          <w:highlight w:val="yellow"/>
        </w:rPr>
        <w:br/>
        <w:t xml:space="preserve">[nome, cargo ou associação, e-mail e telefone]</w:t>
      </w:r>
    </w:p>
    <w:p>
      <w:pPr>
        <w:spacing w:after="160"/>
      </w:pPr>
      <w:r>
        <w:rPr>
          <w:color w:val="55696F"/>
          <w:sz w:val="19"/>
        </w:rPr>
        <w:t xml:space="preserve">Dicas: peça documentos que existem e têm nome; guarde o pedido, o protocolo, a resposta e os documentos junto a este checklist; se a associação quiser atuar no processo da Previc, consulte o jurídico sobre o pedido de admissão como interessada (art. 152, § 2º) e a prova de representatividade, pois as normas consultadas não detalham o formato.</w:t>
      </w:r>
    </w:p>
    <w:p>
      <w:pPr>
        <w:spacing w:after="60"/>
      </w:pPr>
      <w:r>
        <w:rPr>
          <w:color w:val="55696F"/>
          <w:sz w:val="17"/>
        </w:rPr>
        <w:t xml:space="preserve">Fontes: Lei Complementar nº 109/2001, arts. 17, 21 e 33 · Lei Complementar nº 108/2001, art. 4º · Resolução CNPC/MPS nº 59/2023, arts. 5º, 10, 13, 17 e 22 a 24 · Resolução CNPC nº 51/2022, arts. 2º, 8º e 11 · Resolução Previc nº 23/2023, arts. 104 a 108, 129, 131 a 140, 152, 163, 174, 176 e Anexo III (consolidada até a Resolução Previc nº 25/2024) · Resolução Previc nº 26/2025 · Resoluções CNPC nº 50/2022 e 65/2026 · Previc, página Migração. Material informativo; não substitui orientação jurídica ou atuarial. Tauer · tauer.com.br/contato</w:t>
      </w:r>
    </w:p>
    <w:sectPr>
      <w:pgSz w:w="11906" w:h="16838"/>
      <w:pgMar w:top="1000" w:right="1150" w:bottom="1000" w:left="115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</w:pPr>
  </w:style>
  <w:style w:type="paragraph" w:styleId="Heading1">
    <w:name w:val="heading 1"/>
    <w:basedOn w:val="Normal"/>
    <w:pPr>
      <w:keepNext/>
      <w:spacing w:before="200" w:after="80"/>
      <w:outlineLvl w:val="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